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73"/>
      </w:tblGrid>
      <w:tr w:rsidR="004D4FFC" w:rsidTr="004D4FF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D4FFC" w:rsidRDefault="004D4FFC"/>
        </w:tc>
      </w:tr>
      <w:tr w:rsidR="004D4FFC" w:rsidRPr="00851581" w:rsidTr="004D4FFC">
        <w:trPr>
          <w:tblCellSpacing w:w="15" w:type="dxa"/>
          <w:jc w:val="center"/>
        </w:trPr>
        <w:tc>
          <w:tcPr>
            <w:tcW w:w="0" w:type="auto"/>
            <w:hideMark/>
          </w:tcPr>
          <w:p w:rsidR="004D4FFC" w:rsidRPr="004D4FFC" w:rsidRDefault="004D4FFC" w:rsidP="00546E90">
            <w:pPr>
              <w:pStyle w:val="StandardWeb"/>
              <w:rPr>
                <w:lang w:val="en-US"/>
              </w:rPr>
            </w:pPr>
            <w:r w:rsidRPr="00546E90">
              <w:rPr>
                <w:b/>
                <w:bCs/>
              </w:rPr>
              <w:t>Specific Information</w:t>
            </w:r>
          </w:p>
          <w:p w:rsidR="004D4FFC" w:rsidRPr="004D4FFC" w:rsidRDefault="004D4FFC">
            <w:pPr>
              <w:pStyle w:val="StandardWeb"/>
              <w:rPr>
                <w:lang w:val="en-US"/>
              </w:rPr>
            </w:pPr>
            <w:r w:rsidRPr="00546E90">
              <w:rPr>
                <w:b/>
                <w:bCs/>
              </w:rPr>
              <w:t xml:space="preserve">Stimuli used in: </w:t>
            </w:r>
          </w:p>
          <w:p w:rsidR="004D4FFC" w:rsidRPr="004D4FFC" w:rsidRDefault="000207DE">
            <w:pPr>
              <w:pStyle w:val="StandardWeb"/>
              <w:rPr>
                <w:lang w:val="en-US"/>
              </w:rPr>
            </w:pPr>
            <w:r w:rsidRPr="00546E90">
              <w:rPr>
                <w:lang w:val="en-US"/>
              </w:rPr>
              <w:t xml:space="preserve">Zäske, R., Volberg, G., Kovacs, G., &amp; Schweinberger, S. R. (2014). </w:t>
            </w:r>
            <w:r w:rsidRPr="000207DE">
              <w:rPr>
                <w:lang w:val="en-US"/>
              </w:rPr>
              <w:t xml:space="preserve">Electrophysiological Correlates of Voice Learning and Recognition. </w:t>
            </w:r>
            <w:r w:rsidRPr="00546E90">
              <w:rPr>
                <w:lang w:val="en-US"/>
              </w:rPr>
              <w:t>Journal of Neuroscience, 34</w:t>
            </w:r>
            <w:r w:rsidRPr="000207DE">
              <w:rPr>
                <w:lang w:val="en-US"/>
              </w:rPr>
              <w:t>(33), 10821-10831. doi: 10.1523/jneurosci.0581-14.2014</w:t>
            </w:r>
            <w:r w:rsidR="004D4FFC" w:rsidRPr="004D4FFC">
              <w:rPr>
                <w:lang w:val="en-US"/>
              </w:rPr>
              <w:t>.</w:t>
            </w:r>
          </w:p>
          <w:p w:rsidR="000207DE" w:rsidRDefault="004D4FFC">
            <w:pPr>
              <w:pStyle w:val="StandardWeb"/>
              <w:rPr>
                <w:lang w:val="en-US"/>
              </w:rPr>
            </w:pPr>
            <w:r w:rsidRPr="00546E90">
              <w:rPr>
                <w:b/>
                <w:bCs/>
              </w:rPr>
              <w:t>Content:</w:t>
            </w:r>
            <w:r w:rsidRPr="004D4FFC">
              <w:rPr>
                <w:lang w:val="en-US"/>
              </w:rPr>
              <w:t xml:space="preserve"> </w:t>
            </w:r>
            <w:r w:rsidR="000207DE">
              <w:rPr>
                <w:lang w:val="en-US"/>
              </w:rPr>
              <w:t>552 sound files of 46 speakers (23 male)</w:t>
            </w:r>
            <w:r w:rsidR="00CC383C">
              <w:rPr>
                <w:lang w:val="en-US"/>
              </w:rPr>
              <w:t xml:space="preserve"> à</w:t>
            </w:r>
            <w:r w:rsidR="000207DE">
              <w:rPr>
                <w:lang w:val="en-US"/>
              </w:rPr>
              <w:t xml:space="preserve"> 12 sentences (wav-format). </w:t>
            </w:r>
          </w:p>
          <w:p w:rsidR="00546E90" w:rsidRDefault="000207DE">
            <w:pPr>
              <w:pStyle w:val="StandardWeb"/>
              <w:rPr>
                <w:lang w:val="en-US"/>
              </w:rPr>
            </w:pPr>
            <w:r w:rsidRPr="00546E90">
              <w:rPr>
                <w:b/>
                <w:bCs/>
              </w:rPr>
              <w:t>Description:</w:t>
            </w:r>
            <w:r w:rsidRPr="004D4FFC">
              <w:rPr>
                <w:lang w:val="en-US"/>
              </w:rPr>
              <w:t xml:space="preserve"> These stimuli contain</w:t>
            </w:r>
            <w:r w:rsidRPr="000207DE">
              <w:rPr>
                <w:lang w:val="en-US"/>
              </w:rPr>
              <w:t xml:space="preserve"> recordings from 4</w:t>
            </w:r>
            <w:r>
              <w:rPr>
                <w:lang w:val="en-US"/>
              </w:rPr>
              <w:t>6</w:t>
            </w:r>
            <w:r w:rsidRPr="000207DE">
              <w:rPr>
                <w:lang w:val="en-US"/>
              </w:rPr>
              <w:t xml:space="preserve"> adu</w:t>
            </w:r>
            <w:r>
              <w:rPr>
                <w:lang w:val="en-US"/>
              </w:rPr>
              <w:t>lt native speakers of German (23</w:t>
            </w:r>
            <w:r w:rsidRPr="000207DE">
              <w:rPr>
                <w:lang w:val="en-US"/>
              </w:rPr>
              <w:t xml:space="preserve"> female) aged 18-25 yrs. </w:t>
            </w:r>
            <w:r w:rsidR="00360E5A">
              <w:rPr>
                <w:lang w:val="en-US"/>
              </w:rPr>
              <w:t xml:space="preserve">This </w:t>
            </w:r>
            <w:r w:rsidR="00851581">
              <w:rPr>
                <w:lang w:val="en-US"/>
              </w:rPr>
              <w:t xml:space="preserve">is a </w:t>
            </w:r>
            <w:r w:rsidR="00360E5A">
              <w:rPr>
                <w:lang w:val="en-US"/>
              </w:rPr>
              <w:t xml:space="preserve">subset of </w:t>
            </w:r>
            <w:r w:rsidR="00710514">
              <w:rPr>
                <w:lang w:val="en-US"/>
              </w:rPr>
              <w:t xml:space="preserve">the </w:t>
            </w:r>
            <w:r w:rsidR="00360E5A">
              <w:rPr>
                <w:lang w:val="en-US"/>
              </w:rPr>
              <w:t xml:space="preserve">48 speakers used in the original </w:t>
            </w:r>
            <w:r w:rsidR="00710514">
              <w:rPr>
                <w:lang w:val="en-US"/>
              </w:rPr>
              <w:t xml:space="preserve">study </w:t>
            </w:r>
            <w:r w:rsidR="00360E5A">
              <w:rPr>
                <w:lang w:val="en-US"/>
              </w:rPr>
              <w:t xml:space="preserve">(Zäske et al., 2014) </w:t>
            </w:r>
            <w:r w:rsidR="00851581">
              <w:rPr>
                <w:lang w:val="en-US"/>
              </w:rPr>
              <w:t xml:space="preserve">who provided their </w:t>
            </w:r>
            <w:r w:rsidR="00360E5A">
              <w:rPr>
                <w:lang w:val="en-US"/>
              </w:rPr>
              <w:t>recordings</w:t>
            </w:r>
            <w:r w:rsidR="00851581">
              <w:rPr>
                <w:lang w:val="en-US"/>
              </w:rPr>
              <w:t xml:space="preserve"> to use in other studies</w:t>
            </w:r>
            <w:r w:rsidR="00360E5A">
              <w:rPr>
                <w:lang w:val="en-US"/>
              </w:rPr>
              <w:t>. Speakers</w:t>
            </w:r>
            <w:r w:rsidRPr="000207DE">
              <w:rPr>
                <w:lang w:val="en-US"/>
              </w:rPr>
              <w:t xml:space="preserve"> uttered 12 German sentences </w:t>
            </w:r>
            <w:r w:rsidR="00CC383C">
              <w:rPr>
                <w:lang w:val="en-US"/>
              </w:rPr>
              <w:t>half of which started with the article “der” and “die”. All sentences consisted of 7-8 syllables and had th</w:t>
            </w:r>
            <w:r w:rsidRPr="000207DE">
              <w:rPr>
                <w:lang w:val="en-US"/>
              </w:rPr>
              <w:t xml:space="preserve">e same syntactic structure, e.g. “Der </w:t>
            </w:r>
            <w:proofErr w:type="spellStart"/>
            <w:r w:rsidRPr="000207DE">
              <w:rPr>
                <w:lang w:val="en-US"/>
              </w:rPr>
              <w:t>Fahrer</w:t>
            </w:r>
            <w:proofErr w:type="spellEnd"/>
            <w:r w:rsidRPr="000207DE">
              <w:rPr>
                <w:lang w:val="en-US"/>
              </w:rPr>
              <w:t xml:space="preserve"> </w:t>
            </w:r>
            <w:proofErr w:type="spellStart"/>
            <w:r w:rsidRPr="000207DE">
              <w:rPr>
                <w:lang w:val="en-US"/>
              </w:rPr>
              <w:t>lenkt</w:t>
            </w:r>
            <w:proofErr w:type="spellEnd"/>
            <w:r w:rsidRPr="000207DE">
              <w:rPr>
                <w:lang w:val="en-US"/>
              </w:rPr>
              <w:t xml:space="preserve"> den </w:t>
            </w:r>
            <w:proofErr w:type="spellStart"/>
            <w:r w:rsidRPr="000207DE">
              <w:rPr>
                <w:lang w:val="en-US"/>
              </w:rPr>
              <w:t>Wagen</w:t>
            </w:r>
            <w:proofErr w:type="spellEnd"/>
            <w:r w:rsidRPr="000207DE">
              <w:rPr>
                <w:lang w:val="en-US"/>
              </w:rPr>
              <w:t xml:space="preserve">.” (The driver steers the car.), “Die </w:t>
            </w:r>
            <w:proofErr w:type="spellStart"/>
            <w:r w:rsidRPr="000207DE">
              <w:rPr>
                <w:lang w:val="en-US"/>
              </w:rPr>
              <w:t>Kundin</w:t>
            </w:r>
            <w:proofErr w:type="spellEnd"/>
            <w:r w:rsidRPr="000207DE">
              <w:rPr>
                <w:lang w:val="en-US"/>
              </w:rPr>
              <w:t xml:space="preserve"> </w:t>
            </w:r>
            <w:proofErr w:type="spellStart"/>
            <w:r w:rsidRPr="000207DE">
              <w:rPr>
                <w:lang w:val="en-US"/>
              </w:rPr>
              <w:t>kennt</w:t>
            </w:r>
            <w:proofErr w:type="spellEnd"/>
            <w:r w:rsidRPr="000207DE">
              <w:rPr>
                <w:lang w:val="en-US"/>
              </w:rPr>
              <w:t xml:space="preserve"> den Laden.” (The customer knows the shop.). </w:t>
            </w:r>
            <w:r w:rsidR="00710514" w:rsidRPr="000207DE">
              <w:rPr>
                <w:lang w:val="en-US"/>
              </w:rPr>
              <w:t xml:space="preserve">Each sentence was recorded 4-5 times in a quiet and semi-anechoic room by means of a </w:t>
            </w:r>
            <w:proofErr w:type="spellStart"/>
            <w:r w:rsidR="00710514" w:rsidRPr="000207DE">
              <w:rPr>
                <w:lang w:val="en-US"/>
              </w:rPr>
              <w:t>Sennheiser</w:t>
            </w:r>
            <w:proofErr w:type="spellEnd"/>
            <w:r w:rsidR="00710514" w:rsidRPr="000207DE">
              <w:rPr>
                <w:lang w:val="en-US"/>
              </w:rPr>
              <w:t xml:space="preserve"> MD 421-II microphone with pop protection and a Zoom H4n audio interface (16-bit resolution, 48 kHz sampling rate, stereo).</w:t>
            </w:r>
            <w:r w:rsidR="00710514">
              <w:rPr>
                <w:lang w:val="en-US"/>
              </w:rPr>
              <w:t xml:space="preserve"> S</w:t>
            </w:r>
            <w:r w:rsidRPr="000207DE">
              <w:rPr>
                <w:lang w:val="en-US"/>
              </w:rPr>
              <w:t>peakers were instructed to intonate sentences as emotionally neutral as possible</w:t>
            </w:r>
            <w:r w:rsidR="00710514" w:rsidRPr="000207DE">
              <w:rPr>
                <w:lang w:val="en-US"/>
              </w:rPr>
              <w:t xml:space="preserve"> </w:t>
            </w:r>
            <w:r w:rsidR="00710514">
              <w:rPr>
                <w:lang w:val="en-US"/>
              </w:rPr>
              <w:t xml:space="preserve">and </w:t>
            </w:r>
            <w:r w:rsidR="00710514" w:rsidRPr="000207DE">
              <w:rPr>
                <w:lang w:val="en-US"/>
              </w:rPr>
              <w:t>to mimic as closely as possible a pre-recorded model speaker (first author) presented via loudspeakers.</w:t>
            </w:r>
            <w:r w:rsidR="00710514">
              <w:rPr>
                <w:lang w:val="en-US"/>
              </w:rPr>
              <w:t xml:space="preserve"> This was</w:t>
            </w:r>
            <w:r w:rsidR="00CC383C">
              <w:rPr>
                <w:lang w:val="en-US"/>
              </w:rPr>
              <w:t xml:space="preserve"> i</w:t>
            </w:r>
            <w:r w:rsidRPr="000207DE">
              <w:rPr>
                <w:lang w:val="en-US"/>
              </w:rPr>
              <w:t>n order to standardize intonation and sentence duration and to keep regional accents to a minimum</w:t>
            </w:r>
            <w:r w:rsidR="00710514">
              <w:rPr>
                <w:lang w:val="en-US"/>
              </w:rPr>
              <w:t>. R</w:t>
            </w:r>
            <w:r w:rsidRPr="000207DE">
              <w:rPr>
                <w:lang w:val="en-US"/>
              </w:rPr>
              <w:t>ecordings with the least artefacts, the least background noise and with clear pronunciation were chosen as stimuli. Using PRAAT software (</w:t>
            </w:r>
            <w:proofErr w:type="spellStart"/>
            <w:r w:rsidRPr="000207DE">
              <w:rPr>
                <w:lang w:val="en-US"/>
              </w:rPr>
              <w:t>Boersma</w:t>
            </w:r>
            <w:proofErr w:type="spellEnd"/>
            <w:r w:rsidRPr="000207DE">
              <w:rPr>
                <w:lang w:val="en-US"/>
              </w:rPr>
              <w:t xml:space="preserve"> &amp; </w:t>
            </w:r>
            <w:proofErr w:type="spellStart"/>
            <w:r w:rsidRPr="000207DE">
              <w:rPr>
                <w:lang w:val="en-US"/>
              </w:rPr>
              <w:t>Weenink</w:t>
            </w:r>
            <w:proofErr w:type="spellEnd"/>
            <w:r w:rsidRPr="000207DE">
              <w:rPr>
                <w:lang w:val="en-US"/>
              </w:rPr>
              <w:t>, 2001) voice recordings were cut to contain one sentence st</w:t>
            </w:r>
            <w:r w:rsidR="00EE0205">
              <w:rPr>
                <w:lang w:val="en-US"/>
              </w:rPr>
              <w:t xml:space="preserve">arting exactly at plosive onset. </w:t>
            </w:r>
            <w:r w:rsidRPr="000207DE">
              <w:rPr>
                <w:lang w:val="en-US"/>
              </w:rPr>
              <w:t>Voice recordings w</w:t>
            </w:r>
            <w:r w:rsidR="00546E90">
              <w:rPr>
                <w:lang w:val="en-US"/>
              </w:rPr>
              <w:t>e</w:t>
            </w:r>
            <w:r w:rsidRPr="000207DE">
              <w:rPr>
                <w:lang w:val="en-US"/>
              </w:rPr>
              <w:t>re then resampled to 44.1 kHz, converted to mo</w:t>
            </w:r>
            <w:r w:rsidR="00CC383C">
              <w:rPr>
                <w:lang w:val="en-US"/>
              </w:rPr>
              <w:t xml:space="preserve">no and RMS normalized to 70 </w:t>
            </w:r>
            <w:proofErr w:type="spellStart"/>
            <w:r w:rsidR="00CC383C">
              <w:rPr>
                <w:lang w:val="en-US"/>
              </w:rPr>
              <w:t>dB.</w:t>
            </w:r>
            <w:proofErr w:type="spellEnd"/>
          </w:p>
          <w:p w:rsidR="00546E90" w:rsidRDefault="00546E90">
            <w:pPr>
              <w:pStyle w:val="StandardWeb"/>
              <w:rPr>
                <w:lang w:val="en-US"/>
              </w:rPr>
            </w:pPr>
            <w:r>
              <w:rPr>
                <w:lang w:val="en-US"/>
              </w:rPr>
              <w:t>Transcripts of speech content of the 12 sentences (and their English translations):</w:t>
            </w:r>
          </w:p>
          <w:p w:rsid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</w:p>
          <w:p w:rsid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t>Die Frau bügelt die Wäsche.</w:t>
            </w:r>
            <w:r w:rsidRPr="00546E90">
              <w:tab/>
            </w:r>
            <w:r w:rsidRPr="00546E90"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woman irons the clothes.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t>Die Katze durchquert den Garten.</w:t>
            </w:r>
            <w:r w:rsidRPr="00546E90">
              <w:tab/>
            </w:r>
            <w:r w:rsidRPr="00546E90">
              <w:rPr>
                <w:lang w:val="en-US"/>
              </w:rPr>
              <w:t>(The cat walks across the garden.)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Die </w:t>
            </w:r>
            <w:proofErr w:type="spellStart"/>
            <w:r w:rsidRPr="00546E90">
              <w:rPr>
                <w:lang w:val="en-US"/>
              </w:rPr>
              <w:t>Kundin</w:t>
            </w:r>
            <w:proofErr w:type="spellEnd"/>
            <w:r w:rsidRPr="00546E90">
              <w:rPr>
                <w:lang w:val="en-US"/>
              </w:rPr>
              <w:t xml:space="preserve"> </w:t>
            </w:r>
            <w:proofErr w:type="spellStart"/>
            <w:r w:rsidRPr="00546E90">
              <w:rPr>
                <w:lang w:val="en-US"/>
              </w:rPr>
              <w:t>kennt</w:t>
            </w:r>
            <w:proofErr w:type="spellEnd"/>
            <w:r w:rsidRPr="00546E90">
              <w:rPr>
                <w:lang w:val="en-US"/>
              </w:rPr>
              <w:t xml:space="preserve"> den Laden.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customer knows the shop.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Die Mutter </w:t>
            </w:r>
            <w:proofErr w:type="spellStart"/>
            <w:r w:rsidRPr="00546E90">
              <w:rPr>
                <w:lang w:val="en-US"/>
              </w:rPr>
              <w:t>wischt</w:t>
            </w:r>
            <w:proofErr w:type="spellEnd"/>
            <w:r w:rsidRPr="00546E90">
              <w:rPr>
                <w:lang w:val="en-US"/>
              </w:rPr>
              <w:t xml:space="preserve"> den Boden.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mother cleans the floor.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Die </w:t>
            </w:r>
            <w:proofErr w:type="spellStart"/>
            <w:r w:rsidRPr="00546E90">
              <w:rPr>
                <w:lang w:val="en-US"/>
              </w:rPr>
              <w:t>Nachfrage</w:t>
            </w:r>
            <w:proofErr w:type="spellEnd"/>
            <w:r w:rsidRPr="00546E90">
              <w:rPr>
                <w:lang w:val="en-US"/>
              </w:rPr>
              <w:t xml:space="preserve"> </w:t>
            </w:r>
            <w:proofErr w:type="spellStart"/>
            <w:r w:rsidRPr="00546E90">
              <w:rPr>
                <w:lang w:val="en-US"/>
              </w:rPr>
              <w:t>bestimmt</w:t>
            </w:r>
            <w:proofErr w:type="spellEnd"/>
            <w:r w:rsidRPr="00546E90">
              <w:rPr>
                <w:lang w:val="en-US"/>
              </w:rPr>
              <w:t xml:space="preserve"> den Preis.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demand rules the price.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Die </w:t>
            </w:r>
            <w:proofErr w:type="spellStart"/>
            <w:r w:rsidRPr="00546E90">
              <w:rPr>
                <w:lang w:val="en-US"/>
              </w:rPr>
              <w:t>Nachricht</w:t>
            </w:r>
            <w:proofErr w:type="spellEnd"/>
            <w:r w:rsidRPr="00546E90">
              <w:rPr>
                <w:lang w:val="en-US"/>
              </w:rPr>
              <w:t xml:space="preserve"> </w:t>
            </w:r>
            <w:proofErr w:type="spellStart"/>
            <w:r w:rsidRPr="00546E90">
              <w:rPr>
                <w:lang w:val="en-US"/>
              </w:rPr>
              <w:t>erreicht</w:t>
            </w:r>
            <w:proofErr w:type="spellEnd"/>
            <w:r w:rsidRPr="00546E90">
              <w:rPr>
                <w:lang w:val="en-US"/>
              </w:rPr>
              <w:t xml:space="preserve"> die Stadt.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 xml:space="preserve">The news </w:t>
            </w:r>
            <w:proofErr w:type="gramStart"/>
            <w:r w:rsidRPr="00546E90">
              <w:rPr>
                <w:lang w:val="en-US"/>
              </w:rPr>
              <w:t>reach</w:t>
            </w:r>
            <w:proofErr w:type="gramEnd"/>
            <w:r w:rsidRPr="00546E90">
              <w:rPr>
                <w:lang w:val="en-US"/>
              </w:rPr>
              <w:t xml:space="preserve"> the town.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Der Bauer </w:t>
            </w:r>
            <w:proofErr w:type="spellStart"/>
            <w:r w:rsidRPr="00546E90">
              <w:rPr>
                <w:lang w:val="en-US"/>
              </w:rPr>
              <w:t>pflügt</w:t>
            </w:r>
            <w:proofErr w:type="spellEnd"/>
            <w:r w:rsidRPr="00546E90">
              <w:rPr>
                <w:lang w:val="en-US"/>
              </w:rPr>
              <w:t xml:space="preserve"> den Acker.</w:t>
            </w:r>
            <w:r w:rsidRPr="00546E90">
              <w:rPr>
                <w:lang w:val="en-US"/>
              </w:rPr>
              <w:tab/>
              <w:t xml:space="preserve">   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farmer ploughs the field.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Der </w:t>
            </w:r>
            <w:proofErr w:type="spellStart"/>
            <w:r w:rsidRPr="00546E90">
              <w:rPr>
                <w:lang w:val="en-US"/>
              </w:rPr>
              <w:t>Fahrer</w:t>
            </w:r>
            <w:proofErr w:type="spellEnd"/>
            <w:r w:rsidRPr="00546E90">
              <w:rPr>
                <w:lang w:val="en-US"/>
              </w:rPr>
              <w:t xml:space="preserve"> </w:t>
            </w:r>
            <w:proofErr w:type="spellStart"/>
            <w:r w:rsidRPr="00546E90">
              <w:rPr>
                <w:lang w:val="en-US"/>
              </w:rPr>
              <w:t>lenkt</w:t>
            </w:r>
            <w:proofErr w:type="spellEnd"/>
            <w:r w:rsidRPr="00546E90">
              <w:rPr>
                <w:lang w:val="en-US"/>
              </w:rPr>
              <w:t xml:space="preserve"> den Wagen.</w:t>
            </w:r>
            <w:r w:rsidRPr="00546E90">
              <w:rPr>
                <w:lang w:val="en-US"/>
              </w:rPr>
              <w:tab/>
              <w:t xml:space="preserve">   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driver steers the car.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lastRenderedPageBreak/>
              <w:t xml:space="preserve">Der </w:t>
            </w:r>
            <w:proofErr w:type="spellStart"/>
            <w:r w:rsidRPr="00546E90">
              <w:rPr>
                <w:lang w:val="en-US"/>
              </w:rPr>
              <w:t>Hund</w:t>
            </w:r>
            <w:proofErr w:type="spellEnd"/>
            <w:r w:rsidRPr="00546E90">
              <w:rPr>
                <w:lang w:val="en-US"/>
              </w:rPr>
              <w:t xml:space="preserve"> </w:t>
            </w:r>
            <w:proofErr w:type="spellStart"/>
            <w:r w:rsidRPr="00546E90">
              <w:rPr>
                <w:lang w:val="en-US"/>
              </w:rPr>
              <w:t>vergräbt</w:t>
            </w:r>
            <w:proofErr w:type="spellEnd"/>
            <w:r w:rsidRPr="00546E90">
              <w:rPr>
                <w:lang w:val="en-US"/>
              </w:rPr>
              <w:t xml:space="preserve"> den Knochen.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dog buries the bone.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Der Lehrer </w:t>
            </w:r>
            <w:proofErr w:type="spellStart"/>
            <w:r w:rsidRPr="00546E90">
              <w:rPr>
                <w:lang w:val="en-US"/>
              </w:rPr>
              <w:t>erhält</w:t>
            </w:r>
            <w:proofErr w:type="spellEnd"/>
            <w:r w:rsidRPr="00546E90">
              <w:rPr>
                <w:lang w:val="en-US"/>
              </w:rPr>
              <w:t xml:space="preserve"> die Nachricht.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teacher receives the message.</w:t>
            </w:r>
            <w:r>
              <w:rPr>
                <w:lang w:val="en-US"/>
              </w:rPr>
              <w:t>)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Der Richter </w:t>
            </w:r>
            <w:proofErr w:type="spellStart"/>
            <w:r w:rsidRPr="00546E90">
              <w:rPr>
                <w:lang w:val="en-US"/>
              </w:rPr>
              <w:t>verliest</w:t>
            </w:r>
            <w:proofErr w:type="spellEnd"/>
            <w:r w:rsidRPr="00546E90">
              <w:rPr>
                <w:lang w:val="en-US"/>
              </w:rPr>
              <w:t xml:space="preserve"> das Urteil.</w:t>
            </w:r>
            <w:r w:rsidRPr="00546E90">
              <w:rPr>
                <w:lang w:val="en-US"/>
              </w:rPr>
              <w:tab/>
            </w:r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judge reads the verdict.</w:t>
            </w:r>
            <w:r>
              <w:rPr>
                <w:lang w:val="en-US"/>
              </w:rPr>
              <w:t>)</w:t>
            </w:r>
            <w:r w:rsidRPr="00546E90">
              <w:rPr>
                <w:lang w:val="en-US"/>
              </w:rPr>
              <w:t xml:space="preserve"> </w:t>
            </w:r>
          </w:p>
          <w:p w:rsidR="00546E90" w:rsidRPr="00546E90" w:rsidRDefault="00546E90" w:rsidP="00546E90">
            <w:pPr>
              <w:pStyle w:val="StandardWeb"/>
              <w:widowControl w:val="0"/>
              <w:rPr>
                <w:lang w:val="en-US"/>
              </w:rPr>
            </w:pPr>
            <w:r w:rsidRPr="00546E90">
              <w:rPr>
                <w:lang w:val="en-US"/>
              </w:rPr>
              <w:t xml:space="preserve">Der Zug </w:t>
            </w:r>
            <w:proofErr w:type="spellStart"/>
            <w:r w:rsidRPr="00546E90">
              <w:rPr>
                <w:lang w:val="en-US"/>
              </w:rPr>
              <w:t>passiert</w:t>
            </w:r>
            <w:proofErr w:type="spellEnd"/>
            <w:r w:rsidRPr="00546E90">
              <w:rPr>
                <w:lang w:val="en-US"/>
              </w:rPr>
              <w:t xml:space="preserve"> die Ortschaft.</w:t>
            </w:r>
            <w:r w:rsidRPr="00546E90">
              <w:rPr>
                <w:lang w:val="en-US"/>
              </w:rPr>
              <w:tab/>
            </w:r>
            <w:bookmarkStart w:id="0" w:name="_GoBack"/>
            <w:bookmarkEnd w:id="0"/>
            <w:r>
              <w:rPr>
                <w:lang w:val="en-US"/>
              </w:rPr>
              <w:t>(</w:t>
            </w:r>
            <w:r w:rsidRPr="00546E90">
              <w:rPr>
                <w:lang w:val="en-US"/>
              </w:rPr>
              <w:t>The train passes the town.</w:t>
            </w:r>
            <w:r>
              <w:rPr>
                <w:lang w:val="en-US"/>
              </w:rPr>
              <w:t>)</w:t>
            </w:r>
          </w:p>
          <w:p w:rsidR="00546E90" w:rsidRDefault="00546E90">
            <w:pPr>
              <w:pStyle w:val="StandardWeb"/>
              <w:rPr>
                <w:lang w:val="en-US"/>
              </w:rPr>
            </w:pPr>
          </w:p>
          <w:p w:rsidR="004D4FFC" w:rsidRPr="004D4FFC" w:rsidRDefault="004D4FFC">
            <w:pPr>
              <w:pStyle w:val="StandardWeb"/>
              <w:rPr>
                <w:lang w:val="en-US"/>
              </w:rPr>
            </w:pPr>
            <w:r w:rsidRPr="004D4FFC">
              <w:rPr>
                <w:lang w:val="en-US"/>
              </w:rPr>
              <w:t xml:space="preserve">File name conventions (e.g. </w:t>
            </w:r>
            <w:r w:rsidR="00EE0205">
              <w:rPr>
                <w:lang w:val="en-US"/>
              </w:rPr>
              <w:t>derbauer_fAH18</w:t>
            </w:r>
            <w:r w:rsidRPr="004D4FFC">
              <w:rPr>
                <w:lang w:val="en-US"/>
              </w:rPr>
              <w:t>.</w:t>
            </w:r>
            <w:r w:rsidR="00EE0205">
              <w:rPr>
                <w:lang w:val="en-US"/>
              </w:rPr>
              <w:t>wav</w:t>
            </w:r>
            <w:r w:rsidRPr="004D4FFC">
              <w:rPr>
                <w:lang w:val="en-US"/>
              </w:rPr>
              <w:t xml:space="preserve">) code for the following information in order: </w:t>
            </w:r>
            <w:r w:rsidR="003D379B">
              <w:rPr>
                <w:lang w:val="en-US"/>
              </w:rPr>
              <w:t>first two words of the sentence,</w:t>
            </w:r>
            <w:r w:rsidRPr="004D4FFC">
              <w:rPr>
                <w:lang w:val="en-US"/>
              </w:rPr>
              <w:t xml:space="preserve"> </w:t>
            </w:r>
            <w:r w:rsidR="003D379B">
              <w:rPr>
                <w:lang w:val="en-US"/>
              </w:rPr>
              <w:t xml:space="preserve">speaker </w:t>
            </w:r>
            <w:r w:rsidRPr="004D4FFC">
              <w:rPr>
                <w:lang w:val="en-US"/>
              </w:rPr>
              <w:t>gender</w:t>
            </w:r>
            <w:r w:rsidR="00546E90">
              <w:rPr>
                <w:lang w:val="en-US"/>
              </w:rPr>
              <w:t xml:space="preserve"> (f or m)</w:t>
            </w:r>
            <w:r w:rsidR="003D379B">
              <w:rPr>
                <w:lang w:val="en-US"/>
              </w:rPr>
              <w:t>,</w:t>
            </w:r>
            <w:r w:rsidRPr="004D4FFC">
              <w:rPr>
                <w:lang w:val="en-US"/>
              </w:rPr>
              <w:t xml:space="preserve"> </w:t>
            </w:r>
            <w:r w:rsidR="003D379B">
              <w:rPr>
                <w:lang w:val="en-US"/>
              </w:rPr>
              <w:t>initials and age at time of recording</w:t>
            </w:r>
            <w:r w:rsidRPr="004D4FFC">
              <w:rPr>
                <w:lang w:val="en-US"/>
              </w:rPr>
              <w:t>.</w:t>
            </w:r>
          </w:p>
          <w:p w:rsidR="004D4FFC" w:rsidRPr="004D4FFC" w:rsidRDefault="004D4FFC">
            <w:pPr>
              <w:pStyle w:val="StandardWeb"/>
              <w:rPr>
                <w:lang w:val="en-US"/>
              </w:rPr>
            </w:pPr>
            <w:r w:rsidRPr="004D4FFC">
              <w:rPr>
                <w:lang w:val="en-US"/>
              </w:rPr>
              <w:t>Note that these stimuli have been provided to you as an academic researcher on the agreement that you:</w:t>
            </w:r>
          </w:p>
          <w:p w:rsidR="004D4FFC" w:rsidRPr="004D4FFC" w:rsidRDefault="004D4FFC" w:rsidP="00546E90">
            <w:pPr>
              <w:pStyle w:val="StandardWeb"/>
              <w:rPr>
                <w:lang w:val="en-US"/>
              </w:rPr>
            </w:pPr>
            <w:r w:rsidRPr="004D4FFC">
              <w:rPr>
                <w:lang w:val="en-US"/>
              </w:rPr>
              <w:t xml:space="preserve">will make sure that the stimuli are not passed on to other researchers without previous request to, and agreement from, the authors of the original </w:t>
            </w:r>
            <w:r w:rsidR="003D379B">
              <w:rPr>
                <w:lang w:val="en-US"/>
              </w:rPr>
              <w:t xml:space="preserve">Journal of Neuroscience </w:t>
            </w:r>
            <w:r w:rsidRPr="004D4FFC">
              <w:rPr>
                <w:lang w:val="en-US"/>
              </w:rPr>
              <w:t xml:space="preserve">paper (present mail address of corresponding author: </w:t>
            </w:r>
            <w:hyperlink r:id="rId8" w:history="1">
              <w:r w:rsidR="003D379B" w:rsidRPr="00546E90">
                <w:t>romi.zaeske@uni-jena.de</w:t>
              </w:r>
            </w:hyperlink>
            <w:r w:rsidRPr="004D4FFC">
              <w:rPr>
                <w:lang w:val="en-US"/>
              </w:rPr>
              <w:t>)</w:t>
            </w:r>
          </w:p>
          <w:p w:rsidR="004D4FFC" w:rsidRPr="004D4FFC" w:rsidRDefault="004D4FFC" w:rsidP="00546E90">
            <w:pPr>
              <w:pStyle w:val="StandardWeb"/>
              <w:rPr>
                <w:lang w:val="en-US"/>
              </w:rPr>
            </w:pPr>
            <w:r w:rsidRPr="004D4FFC">
              <w:rPr>
                <w:lang w:val="en-US"/>
              </w:rPr>
              <w:t>will cite the following articles in any published report of your research</w:t>
            </w:r>
          </w:p>
          <w:p w:rsidR="004D4FFC" w:rsidRPr="003D379B" w:rsidRDefault="003D379B">
            <w:pPr>
              <w:pStyle w:val="StandardWeb"/>
              <w:rPr>
                <w:lang w:val="en-US"/>
              </w:rPr>
            </w:pPr>
            <w:r w:rsidRPr="00546E90">
              <w:rPr>
                <w:lang w:val="en-US"/>
              </w:rPr>
              <w:t xml:space="preserve">Zäske, R., Volberg, G., Kovacs, G., &amp; Schweinberger, S. R. (2014). </w:t>
            </w:r>
            <w:r w:rsidRPr="000207DE">
              <w:rPr>
                <w:lang w:val="en-US"/>
              </w:rPr>
              <w:t xml:space="preserve">Electrophysiological Correlates of Voice Learning and Recognition. </w:t>
            </w:r>
            <w:r w:rsidRPr="00546E90">
              <w:rPr>
                <w:lang w:val="en-US"/>
              </w:rPr>
              <w:t>Journal of Neuroscience, 34</w:t>
            </w:r>
            <w:r w:rsidRPr="000207DE">
              <w:rPr>
                <w:lang w:val="en-US"/>
              </w:rPr>
              <w:t>(33), 10821-10831. doi: 10.1523/jneurosci.0581-14.2014</w:t>
            </w:r>
            <w:r w:rsidRPr="004D4FFC">
              <w:rPr>
                <w:lang w:val="en-US"/>
              </w:rPr>
              <w:t>.</w:t>
            </w:r>
            <w:r w:rsidR="004D4FFC" w:rsidRPr="00124661">
              <w:rPr>
                <w:lang w:val="en-US"/>
              </w:rPr>
              <w:t> </w:t>
            </w:r>
          </w:p>
        </w:tc>
      </w:tr>
      <w:tr w:rsidR="00546E90" w:rsidRPr="00851581" w:rsidTr="004D4FFC">
        <w:trPr>
          <w:tblCellSpacing w:w="15" w:type="dxa"/>
          <w:jc w:val="center"/>
        </w:trPr>
        <w:tc>
          <w:tcPr>
            <w:tcW w:w="0" w:type="auto"/>
          </w:tcPr>
          <w:p w:rsidR="00546E90" w:rsidRPr="00546E90" w:rsidRDefault="00546E90" w:rsidP="00546E90">
            <w:pPr>
              <w:pStyle w:val="StandardWeb"/>
              <w:rPr>
                <w:b/>
                <w:bCs/>
              </w:rPr>
            </w:pPr>
          </w:p>
        </w:tc>
      </w:tr>
    </w:tbl>
    <w:p w:rsidR="004D4FFC" w:rsidRPr="00124661" w:rsidRDefault="004D4FFC" w:rsidP="004D4FFC">
      <w:pPr>
        <w:rPr>
          <w:lang w:val="en-US"/>
        </w:rPr>
      </w:pPr>
    </w:p>
    <w:p w:rsidR="00F94AD5" w:rsidRPr="00124661" w:rsidRDefault="00F94AD5" w:rsidP="004D4FFC">
      <w:pPr>
        <w:rPr>
          <w:lang w:val="en-US"/>
        </w:rPr>
      </w:pPr>
    </w:p>
    <w:p w:rsidR="00F94AD5" w:rsidRPr="00124661" w:rsidRDefault="00F94AD5" w:rsidP="004D4FFC">
      <w:pPr>
        <w:rPr>
          <w:lang w:val="en-US"/>
        </w:rPr>
      </w:pPr>
    </w:p>
    <w:sectPr w:rsidR="00F94AD5" w:rsidRPr="00124661" w:rsidSect="002906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3F7" w:rsidRDefault="007013F7" w:rsidP="000207DE">
      <w:r>
        <w:separator/>
      </w:r>
    </w:p>
  </w:endnote>
  <w:endnote w:type="continuationSeparator" w:id="0">
    <w:p w:rsidR="007013F7" w:rsidRDefault="007013F7" w:rsidP="000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3F7" w:rsidRDefault="007013F7" w:rsidP="000207DE">
      <w:r>
        <w:separator/>
      </w:r>
    </w:p>
  </w:footnote>
  <w:footnote w:type="continuationSeparator" w:id="0">
    <w:p w:rsidR="007013F7" w:rsidRDefault="007013F7" w:rsidP="000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99E"/>
    <w:multiLevelType w:val="multilevel"/>
    <w:tmpl w:val="22BCC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5r0xsv2949290pe9prcpz5fdfedsstr2efff&quot;&gt;romis_lit&lt;record-ids&gt;&lt;item&gt;1105&lt;/item&gt;&lt;/record-ids&gt;&lt;/item&gt;&lt;/Libraries&gt;"/>
  </w:docVars>
  <w:rsids>
    <w:rsidRoot w:val="004D4FFC"/>
    <w:rsid w:val="000207DE"/>
    <w:rsid w:val="000D02EF"/>
    <w:rsid w:val="000D394C"/>
    <w:rsid w:val="00124661"/>
    <w:rsid w:val="0029061E"/>
    <w:rsid w:val="00360E5A"/>
    <w:rsid w:val="00361024"/>
    <w:rsid w:val="003D379B"/>
    <w:rsid w:val="00422CE3"/>
    <w:rsid w:val="004C2596"/>
    <w:rsid w:val="004D4FFC"/>
    <w:rsid w:val="00546E90"/>
    <w:rsid w:val="006E6CB3"/>
    <w:rsid w:val="007013F7"/>
    <w:rsid w:val="00710514"/>
    <w:rsid w:val="00851581"/>
    <w:rsid w:val="008F35F6"/>
    <w:rsid w:val="00CC383C"/>
    <w:rsid w:val="00D31B26"/>
    <w:rsid w:val="00E76DB3"/>
    <w:rsid w:val="00EE0205"/>
    <w:rsid w:val="00F3434A"/>
    <w:rsid w:val="00F70B9B"/>
    <w:rsid w:val="00F9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4FF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4FFC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4D4FFC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4D4FFC"/>
    <w:rPr>
      <w:b/>
      <w:bCs/>
    </w:rPr>
  </w:style>
  <w:style w:type="character" w:styleId="Hervorhebung">
    <w:name w:val="Emphasis"/>
    <w:basedOn w:val="Absatz-Standardschriftart"/>
    <w:uiPriority w:val="20"/>
    <w:qFormat/>
    <w:rsid w:val="004D4FFC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4D4FFC"/>
    <w:rPr>
      <w:color w:val="0000FF"/>
      <w:u w:val="single"/>
    </w:rPr>
  </w:style>
  <w:style w:type="paragraph" w:customStyle="1" w:styleId="EndNoteBibliographyTitle">
    <w:name w:val="EndNote Bibliography Title"/>
    <w:basedOn w:val="Standard"/>
    <w:link w:val="EndNoteBibliographyTitleZchn"/>
    <w:rsid w:val="00F94AD5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94AD5"/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paragraph" w:customStyle="1" w:styleId="EndNoteBibliography">
    <w:name w:val="EndNote Bibliography"/>
    <w:basedOn w:val="Standard"/>
    <w:link w:val="EndNoteBibliographyZchn"/>
    <w:rsid w:val="00F94AD5"/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F94AD5"/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246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46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466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46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46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i.zaeske@uni-jena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Admin-Mitarbeiter</dc:creator>
  <cp:keywords/>
  <dc:description/>
  <cp:lastModifiedBy>Romi Zäske</cp:lastModifiedBy>
  <cp:revision>12</cp:revision>
  <dcterms:created xsi:type="dcterms:W3CDTF">2012-08-13T13:09:00Z</dcterms:created>
  <dcterms:modified xsi:type="dcterms:W3CDTF">2014-11-05T11:47:00Z</dcterms:modified>
</cp:coreProperties>
</file>